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Fiscale aspecten investeren in coöperaties Energiebelasting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Algemeen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Energiebelasting is in beginsel verschuldigd over de levering van elektriciteit over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aansluiting aan een verbruiker. Daarnaast is energiebelasting verschuldigd indien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elektriciteit ‘op een andere manier is verkregen’ waaronder bijvoorbeeld door eigen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opwekking. Deze op ‘een andere manier’ verkregen elektriciteit is echter niet onderworpen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aan de energiebelasting voor ‘de verbruiker die elektriciteit heeft opgewekt door middel van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hernieuwbare energiebronnen’. De eigenaar van zonnepanelen hoeft in de praktijk dus geen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energiebelasting af te dragen over duurzaam opgewekte elektriciteit. Voorwaarde is wel dat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deze elektriciteit voor rekening en risico van de gebruiker van de zelfopgewekte elektriciteit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wordt opgewekt.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Per 1 januari 2016 komen leden van coöperaties en Verenigingen Van Eigenaren (VVE) in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aanmerking voor een belastingkorting ter grootte van het tarief van de eerste schrijf voor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elektriciteit tot nihil (effectief € 10,007 cent excl. 21% BTW bij een verbruik tussen 0 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10.000 kWh) voor de gezamenlijk opgewekte hernieuwbare energie in de vorm van </w:t>
      </w:r>
      <w:r>
        <w:rPr>
          <w:rFonts w:ascii="ArialMT" w:hAnsi="ArialMT" w:cs="ArialMT"/>
        </w:rPr>
        <w:t>zonne-energie</w:t>
      </w:r>
      <w:r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wind, biomassa en aardwarmte. Deze regeling is ten opzichte van het jaar 2015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financieel met ruim 30% verbeterd. De grondslag van de korting is de netto levering op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aansluiting van de productie-installatie. De korting wordt verrekend met de persoonlijke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energierekening van het lid van de energie coöperatie.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 daadwerkelijk de energiebelastingkorting te kunnen genieten moet de energie coöperatie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daarvoor van de Belastingdienst bij beschikking een zogenaamde aanwijzing voor hebben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ontvangen. Dit gebeurt zodra de Belastingdienst heeft vastgesteld dat de energie coöperatie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aan alle voorwaarden voor de belastingkorting voldoet. Energie van Hollandsche bodem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draagt de verantwoordelijkheid voor de verkrijging van deze aanwijzing van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Belastingdienst.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Vanuit de Wet belastingen op milieugrondslag en de uitvoeringsregeling worden geen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specifieke eisen aan de aansluiting van de productie-installatie gesteld. Wel dient er om voor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het verlaagde tarief energiebelasting in aanmerking te komen een contract voor levering met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een energieleverancier met een leveringsvergunning te zijn. Om elektriciteit te kunnen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leveren aan een energieleverancier dient de energie coöperatie over een eigen aansluiting te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beschikken. Dit kan ook een bestaande aansluiting zijn.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verhoging van de energiebelastingkorting geldt zowel voor coöperaties die vanaf 1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januari 2016 worden aangewezen door de inspecteur als voor coöperaties die reeds vóór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deze datum waren aangewezen.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P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105567">
        <w:rPr>
          <w:rFonts w:ascii="ArialMT" w:hAnsi="ArialMT" w:cs="ArialMT"/>
          <w:b/>
        </w:rPr>
        <w:t>Wie mogen deelnemen in energie coöperatie?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Deze regeling geldt voor particulieren en vanaf 1 januari 2015 ook voor (BTW) ondernemers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(o.a. eenmanszaak, vennootschap onder firma, besloten vennootschap) met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kleinverbruikersaansluiting waarbij één ondernemer maximaal 20% van het totale kapitaal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van de coöperatie mag inbrengen. De leden zijn gezamenlijk eigenaar van een </w:t>
      </w:r>
      <w:r>
        <w:rPr>
          <w:rFonts w:ascii="ArialMT" w:hAnsi="ArialMT" w:cs="ArialMT"/>
        </w:rPr>
        <w:t xml:space="preserve">productie-installatie </w:t>
      </w:r>
      <w:r>
        <w:rPr>
          <w:rFonts w:ascii="ArialMT" w:hAnsi="ArialMT" w:cs="ArialMT"/>
        </w:rPr>
        <w:t>waarbij de leden niet meer mogen opwekken dan ze zelf verbruiken (tot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maximum van 10.000 kWh / jaar) In principe moeten de leden zelf de woning bewonen die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leveringsovereenkomst met het energiebedrijf heeft en waarop de kortingsregeling van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toepassing is. De woning moet zich in een zogenaamde (aanliggende) postcoderoos rondom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productie-installatie bevinden.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 meer potentiële bewoners te kunnen laten participeren is ook de definitie van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postcoderoos per 1 januari 2016 verbeterd. DE installatie hoeft zich niet meer in het midden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van de postcoderoos te bevinden. Voor coöperaties wordt het mogelijk ook locaties in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randen van de postcoderoos te benutten. Onder het postcodegebied wordt niet (meer) alleen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verstaan het gebied met postcodes die beginnen met eenzelfde viercijferig getal maar ook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direct daaraan aangrenzende gebieden die zelf eveneens beginnen met eenzelfde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viercijferig getal.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duurzaamheid en de plaats waar de elektriciteit is opgewekt moeten worden aangetoond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met garanties van oorsprong. Bij de energie coöperaties die Energie van Hollandsche bodem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(hierna: </w:t>
      </w:r>
      <w:r>
        <w:rPr>
          <w:rFonts w:ascii="ArialMT" w:hAnsi="ArialMT" w:cs="ArialMT"/>
        </w:rPr>
        <w:t>CERG</w:t>
      </w:r>
      <w:r>
        <w:rPr>
          <w:rFonts w:ascii="ArialMT" w:hAnsi="ArialMT" w:cs="ArialMT"/>
        </w:rPr>
        <w:t xml:space="preserve">) ontwikkelt draagt </w:t>
      </w:r>
      <w:r>
        <w:rPr>
          <w:rFonts w:ascii="ArialMT" w:hAnsi="ArialMT" w:cs="ArialMT"/>
        </w:rPr>
        <w:t>CERG</w:t>
      </w:r>
      <w:r>
        <w:rPr>
          <w:rFonts w:ascii="ArialMT" w:hAnsi="ArialMT" w:cs="ArialMT"/>
        </w:rPr>
        <w:t xml:space="preserve"> hiervoor zorg.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regeling vereist niet dat het lid van de coöperatie ook de eigenaar van de woning is. Ook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een huurder die zelf lid is van de coöperatie en de aansluiting en de leveringsovereenkomst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 zijn of haar naam heeft staan zodat de elektriciteit aan hem kan worden gefactureerd kan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korting genieten (met inachtneming voorwaarden) Ook situaties van financial lease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kwalificeren voor de regeling.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Coöperatieve Energie Regio Groningen </w:t>
      </w:r>
      <w:r>
        <w:rPr>
          <w:rFonts w:ascii="ArialMT" w:hAnsi="ArialMT" w:cs="ArialMT"/>
        </w:rPr>
        <w:t>zal bij de opwek van duurzame energie voor particulieren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vooral gebruik maken van energie-coöperaties. De coöperatie is in essentie dus bedoeld om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als samenwerkingsverband de economische belangen van haar leden te dienen. In een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leveringsovereenkomst met de leden zijn alle onderlinge rechten en verplichtingen bij de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opwek en afname van duurzame energie tussen de coöperatie en de leden opgenomen.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leden zorgen voor het eigen vermogen van de coöperatie. Wanneer de coöperatie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operationeel is kan de ledenvergadering besluiten bij de winstverdeling een gedeelte van het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exploitatieresultaat van de coöperatie te reserveren in de vorm van een algemene reserve.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P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105567">
        <w:rPr>
          <w:rFonts w:ascii="ArialMT" w:hAnsi="ArialMT" w:cs="ArialMT"/>
          <w:b/>
        </w:rPr>
        <w:t>Aansprakelijkheid van de leden van een coöperatie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Omdat de coöperatie een zelfstandige rechtspersoon is, is ze zelf aansprakelijk voor haar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handelen. De leden van een coöperatie zijn in principe niet aansprakelijk voor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overeenkomsten of rechtshandelingen die de coöperatie afsluit of verricht.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aansprakelijkheid van leden beperkt zich meestal tot hun inbreng in de coöperatie of storting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 de ledenrekening.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CERG</w:t>
      </w:r>
      <w:r>
        <w:rPr>
          <w:rFonts w:ascii="ArialMT" w:hAnsi="ArialMT" w:cs="ArialMT"/>
        </w:rPr>
        <w:t xml:space="preserve"> zal kiezen voor energie coöperaties U.A. hetgeen betekent dat de leden de financiële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middelen bijeenbrengen waarbij de leden een aanspra</w:t>
      </w:r>
      <w:r>
        <w:rPr>
          <w:rFonts w:ascii="ArialMT" w:hAnsi="ArialMT" w:cs="ArialMT"/>
        </w:rPr>
        <w:t xml:space="preserve">ak (certificaat) krijgen op een  </w:t>
      </w:r>
      <w:r>
        <w:rPr>
          <w:rFonts w:ascii="ArialMT" w:hAnsi="ArialMT" w:cs="ArialMT"/>
        </w:rPr>
        <w:t>proportioneel deel van het eigen vermogen. De leden zijn niet aansprakelijk voor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eventueel liquidatietekort.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Zoals wettelijk vereist</w:t>
      </w:r>
      <w:r>
        <w:rPr>
          <w:rFonts w:ascii="ArialMT" w:hAnsi="ArialMT" w:cs="ArialMT"/>
          <w:sz w:val="14"/>
          <w:szCs w:val="14"/>
        </w:rPr>
        <w:t xml:space="preserve">2 </w:t>
      </w:r>
      <w:r>
        <w:rPr>
          <w:rFonts w:ascii="ArialMT" w:hAnsi="ArialMT" w:cs="ArialMT"/>
        </w:rPr>
        <w:t>zullen vanuit de coöperatie als zodanig de productie-installaties (de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zonnepanelen) ten behoeve van de leden worden aangeschaft. De energie coöperatie moet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juridische en economische eigenaar zijn van de zonnepanelen. Volgens de wetgever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wordt op deze wijze recht gedaan aan het uitgangspunt dat de leden niet alleen de afnemers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van de opgewekte elektriciteit zijn, maar indirect, via de coöperatie ook degenen die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elektriciteit collectief met hun eigen installatie hebben opgewekt.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Pand- en hypotheekrechten zijn niet in strijd met de eigendomsvoorwaarde. Een energie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coöperatie kan dus ten gunste van de bank / schuldeiser zekerheid verschaffen door op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zonnepaneleninstallatie een pandrecht (roerende zonnepaneleninstallatie) of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hypotheekrecht (onroerende zonnepaneleninstallatie) te vestigen.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 de belastingkorting daadwerkelijk te kunnen doorvoeren op de energierekening van het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lid van de coöperatie heeft de energieleverancier gegevens nodig over het aan dit lid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toegerekende aandeel opgewekte stroom uit een productie-installatie. De coöperatie kan er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voor kiezen om niet meer elektriciteit aan het lid toe te rekenen dan wat het lid daadwerkelijk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verbruikt. De korting blijft van toepassing indien het privé verbruik lager is dan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hoeveelheid elektriciteit die aan het lid wordt toegerekend. De coöperatie heeft de vrijheid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 de opgewekt hoeveelheid elektriciteit zó te verdelen dat de leden optimaal kunnen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profiteren van het verlaagde tarief. </w:t>
      </w:r>
      <w:r>
        <w:rPr>
          <w:rFonts w:ascii="ArialMT" w:hAnsi="ArialMT" w:cs="ArialMT"/>
        </w:rPr>
        <w:t xml:space="preserve">Coöperatieve Energie Regio Groningen </w:t>
      </w:r>
      <w:r>
        <w:rPr>
          <w:rFonts w:ascii="ArialMT" w:hAnsi="ArialMT" w:cs="ArialMT"/>
        </w:rPr>
        <w:t>draagt hiervoor de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administratief organisatorische zorg. Uiteraard dienen de leden Energie van Hollandsche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bodem van alle hiervoor benodigde en actuele gegevens te voorzien.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Uitgangspunt is dat de aan de leden toegerekende elektriciteit in totaal overeenkomt met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hoeveelheid elektriciteit waarvoor door de coöperatie garanties van oorsprong zijn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verkregen. De coöperatie is verantwoordelijk voor die toerekening en geeft deze informatie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door aan de energieleveranciers via een zogenaamde ledenverklaring. Op basis van deze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ledenverklaring passen de energieleveranciers vervolgens bij de energierekening van het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individuele lid de belastingkorting toe. De energiebedrijven mogen voor de toekenning van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het verlaagde tarief uitgaan van de door de coöperatie vastgestelde toerekening.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regeling wordt door de overheid in 2017 geëvalueerd.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Omzetbelasting (BTW)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Omzetbelasting wordt geheven van iedere ondernemer die goederen levert of diensten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verricht die in Nederland plaatsvinden. De omzetbelasting beoogt de ondernemer slechts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omzetbelasting te laten betalen over de waarde die hij toevoegt of eenvoudiger gezegd over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het verschil tussen zijn verkoopprijs en zijn inkoopprijs. De ondernemer mag de in zijn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inkoopprijs begrepen omzetbelasting als voorbelasting op de door hem verschuldigde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omzetbelasting in mindering brengen.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Ieder die een bedrijf of beroep zelfstandig uitoefent is ondernemer voor de omzetbelasting.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Onder ‘bedrijf’ wordt ook verstaan de exploitatie van een vermogensbestanddeel om er</w:t>
      </w:r>
    </w:p>
    <w:p w:rsidR="00105567" w:rsidRP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duurzaam opbrengst uit te verkrijgen. Het ondernemersbegri</w:t>
      </w:r>
      <w:r>
        <w:rPr>
          <w:rFonts w:ascii="ArialMT" w:hAnsi="ArialMT" w:cs="ArialMT"/>
        </w:rPr>
        <w:t>p in de omzetbelasting is ruim: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elk samenwerkingsverband dat in het economisch verkeer als eenheid (entiteit) optreedt kan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voor de omzetbelasting ondernemer zijn. De rechtsvorm is hierbij niet relevant.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Volgens het Europese Hof van Justitie zijn particulieren die de met de zonnepanelen, die op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hun eigen woning zijn aangebracht, opgewekte elektriciteit </w:t>
      </w:r>
      <w:r>
        <w:rPr>
          <w:rFonts w:ascii="ArialMT" w:hAnsi="ArialMT" w:cs="ArialMT"/>
        </w:rPr>
        <w:t>terug leveren</w:t>
      </w:r>
      <w:r>
        <w:rPr>
          <w:rFonts w:ascii="ArialMT" w:hAnsi="ArialMT" w:cs="ArialMT"/>
        </w:rPr>
        <w:t xml:space="preserve"> aan het net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ondernemers voor de omzetbelasting (de zaak Fuchs) Deze particulieren nemen met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levering van de elektriciteit aan de energieleverancier deel aan het economische verkeer.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In de onderhavige situatie bij </w:t>
      </w:r>
      <w:r>
        <w:rPr>
          <w:rFonts w:ascii="ArialMT" w:hAnsi="ArialMT" w:cs="ArialMT"/>
        </w:rPr>
        <w:t>CERG</w:t>
      </w:r>
      <w:r>
        <w:rPr>
          <w:rFonts w:ascii="ArialMT" w:hAnsi="ArialMT" w:cs="ArialMT"/>
        </w:rPr>
        <w:t xml:space="preserve"> is echter sprake van een lokale energie coöperatie die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investeert in zonnepanelen die worden aangebracht op andere plaatsen dan de eigen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woning van het lid om daarmee duurzaam opbrengst te gaan genereren. De met deze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zonnepanelen opgewekte elektriciteit zal worden geleverd aan energieleveranciers. Hier is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sprake van een voor de omzetbelasting belaste levering door de energie coöperatie.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Een dergelijke coöperatie zal voor het ondernemerschap voor de omzetbelasting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kwalificeren. De coöperatie zal de door haar bij de leveringen aan de energieleveranciers in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rekening gebrachte omzetbelasting periodiek op aangifte moeten afdragen aan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Belastingdienst. Als ondernemer heeft de coöperatie recht op aftrek van de aan haar door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derden in rekening gebrachte omzetbelasting (bijvoorbeeld de leverancier van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zonnepanelen) Een rechtspersoon zoals een energie coöperatie kan géén aanspraak maken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 de zogenaamde kleine ondernemersregeling en blijft dus administratieplichtig voor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omzetbelasting.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de fiscale praktijk is er enige onduidelijkheid of een eerste bijdrage van het lid aan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energie coöperatie belast is met 21% BTW. Wanneer deze BTW verschuldigd zou zijn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betekent dit voor particuliere leden (géén BTW ondernemer) een extra kostenpost. Uit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actuele praktijk van oprichtingen van diverse energie coöperaties in Nederland zijn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voorbeelden bekend waarin de Belastingdienst het standpunt heeft ingenomen dat wanneer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een (directe) tegenprestatie kan worden onderscheiden voor de door deze leden gestorte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inleggelden, BTW verschuldigd is.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CERG</w:t>
      </w:r>
      <w:r>
        <w:rPr>
          <w:rFonts w:ascii="ArialMT" w:hAnsi="ArialMT" w:cs="ArialMT"/>
        </w:rPr>
        <w:t xml:space="preserve"> heeft voor alle tot nu toe door haar opgerichte energie coöperatie overeenstemming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bereikt met de Belastingdienst dat over de eerste ledenbijdrage géén BTW verschuldigd is.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Gezien het belang zal </w:t>
      </w:r>
      <w:r>
        <w:rPr>
          <w:rFonts w:ascii="ArialMT" w:hAnsi="ArialMT" w:cs="ArialMT"/>
        </w:rPr>
        <w:t>CERG</w:t>
      </w:r>
      <w:r>
        <w:rPr>
          <w:rFonts w:ascii="ArialMT" w:hAnsi="ArialMT" w:cs="ArialMT"/>
        </w:rPr>
        <w:t xml:space="preserve"> bij elke door haar opgerichte energie coöperatie zorgen voor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duidelijkheid vooraf over de BTW gevolgen.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Inkomstenbelasting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Voor leden natuurlijke personen van de energie coöperatie kunnen er verschillende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inkomstenbelastingaspecten verbonden zijn aan het lidmaatschap van een energie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coöperatie. Zo is het bijvoorbeeld in de eerste plaats relevant of de natuurlijke persoon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bijvoorbeeld deelneemt als ondernemer (eenmanszaak, ZZP-er), genieter van resultaat uit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overige werkzaamheden of als particulier. Voor de particulier is vervolgens relevant of het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lidmaatschapsrecht fiscaal is te duiden als een zogenaamd aanmerkelijk belang (box 2) of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als een recht dat behoort tot de vermogensrendementsheffing (box 3)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Box 1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Ondernemers in de zin van de inkomstenbelasting zullen, afhankelijk van de omvang van het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zakelijke elektriciteitsverbruik, het lidmaatschapsrecht van de energie coöperatie moeten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rekenen tot hun privé-, keuze- of ondernemingsvermogen.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Als het elektriciteitsverbruik bijkomstig (voor 10% of minder) toerekenbaar is aan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onderneming, dan moet het lidmaatschapsrecht aan het privévermogen worden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toegerekend. Een voorbeeld is de ondernemer die zijn bedrijfsadres buiten zijn woning heeft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en wiens zakelijke gebruik van de woning vrij gering (bijkomstig) is. Aan de hand van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omstandigheden van het geval zal nog moeten worden beoordeeld of dit lidmaatschapsrecht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als een zogenaamd aanmerkelijk kwalificeert (box 2) of als een privé bezitting (box 3)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Als het elektriciteitsverbruik meer dan bijkomstig toerekenbaar is aan de onderneming (meer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dan 10%), dan vormt het lidmaatschapsrecht keuzevermogen en kan het tot het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ondernemingsvermogen worden gerekend. Dit kan het geval zijn bij ondernemers en zzp-</w:t>
      </w:r>
      <w:proofErr w:type="spellStart"/>
      <w:r>
        <w:rPr>
          <w:rFonts w:ascii="ArialMT" w:hAnsi="ArialMT" w:cs="ArialMT"/>
        </w:rPr>
        <w:t>ers</w:t>
      </w:r>
      <w:proofErr w:type="spellEnd"/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 vanuit huis werken.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Van verplicht ondernemingsvermogen is slechts sprake als het elektriciteitsverbruik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(nagenoeg) geheel (90% of meer) toerekenbaar is aan de onderneming. Dat zal het geval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zijn met een klein zakelijke aansluiting op het bedrijfsadres. Wanneer het lidmaatschapsrecht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van de energie coöperatie wordt toegerekend aan het ondernemingsvermogen, dan geniet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ondernemer / zzp-er de korting op het energiebelastingtarief als winst uit onderneming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(i.e. lagere energiekosten) Bij het einde van het lidmaatschap is een eventueel verlies op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participatie in de energie coöperatie aftrekbaar van de winst uit onderneming. Een winst is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belast als winst uit onderneming.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Wanneer het lidmaatschapsrecht (verplicht of onverplicht) van de energie coöperatie tot het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privévermogen dient te worden gerekend dan behoort het lidmaatschapsrecht tot box 2 of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box 3.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Box 2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Voor particulieren voor wie het belang in de coöperatie </w:t>
      </w:r>
      <w:r>
        <w:rPr>
          <w:rFonts w:ascii="Arial-ItalicMT" w:hAnsi="Arial-ItalicMT" w:cs="Arial-ItalicMT"/>
          <w:i/>
          <w:iCs/>
        </w:rPr>
        <w:t xml:space="preserve">niet </w:t>
      </w:r>
      <w:r>
        <w:rPr>
          <w:rFonts w:ascii="ArialMT" w:hAnsi="ArialMT" w:cs="ArialMT"/>
        </w:rPr>
        <w:t>tot het ondernemingsvermogen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behoort wordt een lidmaatschapsrecht in een coöperatie voor de inkomstenbelasting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gelijkgesteld aan een winstbewijs. Nu een coöperatie voor deze regeling met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vennootschap wordt gelijkgesteld kwalificeert een lidmaatschapsrecht of een daarmee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vergelijkbaar bewijs van deelgerechtigdheid tot het vermogen van een coöperatie in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energie coöperatie als een aanmerkelijk belang als het lidmaatschapsrecht recht geeft op: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Tenminste 5% van de jaarwinst van de coöperatie;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Tenminste 5% van wat bij liquidatie van de coöperatie wordt uitgekeerd;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Het uitbrengen van tenminste 5% van de stemmen in de algemene ledenvergadering.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Afhankelijk van de statuten van de energie coöperatie kan er in de praktijk sprake zijn van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een aanmerkelijk belang wanneer het particulier lid al dan niet samen met zijn/haar partner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tenminste 5% van het aantal zonnepanelen verwerft. Hierbij uitgaande van het feit dat het lid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de algemene ledenvergadering een zodanig aantal stemmen heeft als overeenkomt met</w:t>
      </w:r>
    </w:p>
    <w:p w:rsidR="00105567" w:rsidRP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het aantal zonnepanelen dat het lid heeft verworven. </w:t>
      </w:r>
      <w:r>
        <w:rPr>
          <w:rFonts w:ascii="ArialMT" w:hAnsi="ArialMT" w:cs="ArialMT"/>
        </w:rPr>
        <w:t>Wanneer het gaat om een energie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coöperatie met in totaal 1.000 zonnepanelen waarvan het particuliere lid de heer Pieterse er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65 (6,5%) heeft verworven dan heeft de heer Pieterse een aanmerkelijk belang in deze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energie coöperatie.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Het voordeel uit aanmerkelijk kan bestaan uit een zogenaamd regulier voordeel (bijvoorbeeld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een winstuitkering ook wel dividend) of een vervreemdingsvoordeel (te berekenen als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vervreemdingsprijs van het lidmaatschapsrecht verminderd met de verkrijgingsprijs er van)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verkrijgingsprijs van het lidmaatschapsrecht is de oorspronkelijke kapitaalstorting die is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betaald bij de aanvang van het lidmaatschap te vermeerderen met eventueel nadien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betaalde contributiebedragen. Als het lid bij het beëindigen van zijn lidmaatschap méér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ontvangt dan de verkrijgingsprijs van zijn aandelen, dan wordt het vervreemdingsvoordeel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belast als inkomen uit aanmerkelijk belang. Ontvangt het lid minder, dan behaalt hij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vervreemdingsverlies dat hij met het belastbaar inkomen uit aanmerkelijk belang in dat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kalenderjaar, het voorgaande kalenderjaar en de volgende negen kalenderjaren kan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verrekenen.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0" w:name="_GoBack"/>
      <w:bookmarkEnd w:id="0"/>
      <w:r>
        <w:rPr>
          <w:rFonts w:ascii="ArialMT" w:hAnsi="ArialMT" w:cs="ArialMT"/>
        </w:rPr>
        <w:t xml:space="preserve">Naar de mening van </w:t>
      </w:r>
      <w:r>
        <w:rPr>
          <w:rFonts w:ascii="ArialMT" w:hAnsi="ArialMT" w:cs="ArialMT"/>
        </w:rPr>
        <w:t>CERG</w:t>
      </w:r>
      <w:r>
        <w:rPr>
          <w:rFonts w:ascii="ArialMT" w:hAnsi="ArialMT" w:cs="ArialMT"/>
        </w:rPr>
        <w:t xml:space="preserve"> zal naar verwachting de toekomstige praktijk uitwijzen dat het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fiscale voordeel van een energie coöperatie vooral moet worden gezocht in het realiseren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van de korting op het energiebelastingtarief en in mindere mate in eventuele winstuitkeringen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aan de leden van de energie coöperatie. Het aanmerkelijk belang box 2 tarief bedraagt 25%.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Box 3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Als géén sprake is van een aanmerkelijk belang en als de energiebelastingkorting wordt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benut op de privé-elektriciteitsrekening, dan behoort het lidmaatschapsrecht voor de waarde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het economische verkeer tot de rendementsgrondslag voor het inkomen uit sparen 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beleggen. Het lidmaatschapsrecht vormt een vermogensrecht (namelijk een recht op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belastingkorting), dat anders dan roerende zaken voor persoonlijk gebruik die niet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hoofdzakelijk ter belegging worden gehouden, tot de rendementsgrondslag behoort.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waarde van het lidmaatschapsrecht is afhankelijk van de bepalingen in de statuten en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ledenovereenkomst. Indien bijvoorbeeld bij opzegging door het lid het entreegeld geheel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wordt terugbetaald, dan heeft het lid een aanspraak ter grootte van zijn entreegeld dat hij in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box 3 moet opgeven.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rendementsgrondslag waarover effectief 1,2% box 3 inkomstenbelasting verschuldigd is,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is de waarde van de bezittingen van belastingplichtige verminderd met de op deze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bezittingen betrekking hebbende schulden. Jaarlijks moeten deze per </w:t>
      </w:r>
      <w:proofErr w:type="spellStart"/>
      <w:r>
        <w:rPr>
          <w:rFonts w:ascii="ArialMT" w:hAnsi="ArialMT" w:cs="ArialMT"/>
        </w:rPr>
        <w:t>waardepeildatum</w:t>
      </w:r>
      <w:proofErr w:type="spellEnd"/>
      <w:r>
        <w:rPr>
          <w:rFonts w:ascii="ArialMT" w:hAnsi="ArialMT" w:cs="ArialMT"/>
        </w:rPr>
        <w:t xml:space="preserve"> van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januari in de aangifte inkomstenbelasting worden opgenomen. Er geldt een vrijstelling tot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een netto vermogen van € 24.437 (2016) per belastingplichtige. Fiscale partners mogen hun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vrijstelling overdragen aan hun partner.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Dividendbelasting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Het eigen vermogen van de coöperatie kan op individuele ledenrekeningen, aandelen of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certificaten worden geplaatst, zonder dat dit direct tot een winstuitkering leidt. Eerst bij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daadwerkelijke uitkering van het vermogen van de ledenrekening is sprake van een voor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inkomstenbelastingheffing en vennootschapsbelasting relevante winstuitkering. Voor leden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natuurlijke personen kan de coöperatie onder omstandigheden verplicht zijn 15%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dividendbelasting in te houden. In geval van een aanmerkelijk belang moet het particuliere lid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zijn / haar aangifte nog 10% (box 2) inkomstenbelasting betalen.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Bij het opbouwen van ledenkapitaal moet wel rekening worden gehouden met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vennootschapsbelasting over niet uitgekeerde winsten en over aan niet-natuurlijke personen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uitgekeerde winsten.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Vennootschapsbelasting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coöperatie is vennootschapsbelastingplichtig, ongeacht of de exploitatie van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zonnepanelen moet worden aangemerkt als een zuivere onderneming. Anders dan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bijvoorbeeld de nv en bv mag de energie coöperatie op haar eigen fiscale winst in aftrek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brengen de uitdeling van de hiervoor beschikbare jaarwinst aan leden-natuurlijke personen.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Hierin komt de verlengstukgedachte tot uitdrukking: de coöperatie vormt immers het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verlengstuk van de onderneming/activiteiten van de leden.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Aftrekbaar is het gedeelte van de uitdeling dat verband houdt met de jegens die leden in dat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jaar verrichte prestaties. Niet aftrekbaar zijn: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Rente op kapitaalverstrekking door de leden.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Uitdelingen van jaarwinst aan leden-rechtspersonen.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• Uitdelingen van verzelfstandigde winst.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Van een kapitaalverstrekking is sprake als de leden een inleg betalen, waarvoor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coöperatie geen terugbetalingsverplichting heeft en waarover de coöperatie jaarlijks een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rente moet vergoeden. Die rente is niet aftrekbaar. Wel aftrekbaar is de rente over van leden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ontvangen leningen.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Winstuitdelingen aan rechtspersonen/leden zijn niet aftrekbaar van de winst van de energie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coöperatie. Vennootschapsbelastingplichtige rechtspersonen die lid zijn van een coöperatie,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hebben in die coöperatie een deelneming. De uitgedeelde winst van de coöperatie kan door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 leden rechtspersonen vrij van enige dividend- of vennootschapsbelasting worden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ontvangen dankzij de toepassing van de deelnemingsvrijstelling. Van verzelfstandigde winst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is sprake als de coöperatie in eerdere jaren winstinhoudingen heeft gedaan of als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coöperatie activiteiten verricht die technisch weinig meer van doen hebben met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onderneming c.q. de activiteiten van de leden. Het gedeelte van de aftrekbare jaarwinst is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even groot als het gedeelte van de kosten dat toerekenbaar is aan prestaties door of jegens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coöperatie. Als aftrekbare verlengstukwinst wordt in ieder geval aangemerkt de winst tot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een bedrag van € 2269.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Voorbeeld: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Een lokale energie coöperatie exploiteert zonnepanelen voor en ten behoeve van de leden,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uitsluitend met natuurlijke personen als leden. De opgewekte elektriciteit wordt verkocht aan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 elektriciteitsleverancier van de coöperatie. Op de opbrengst brengt de coöperatie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kosten, lasten en afschrijvingen in aftrek. De jaarwinst wordt ieder jaar volledig uitgekeerd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aan de leden. De jaarlijkse uitdelingen zijn volledig aftrekbaar, omdat de coöperatie met de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verkoop van de opgewekte elektriciteit en uitdeling van de netto-opbrengst uitsluitend als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verlengstuk van de leden presteert. De coöperatie behaalt per saldo geen belastbare winst.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Onderdeel van het geheel aan afspraken om de korting op de energiebelasting te genieten is</w:t>
      </w:r>
    </w:p>
    <w:p w:rsidR="00105567" w:rsidRDefault="00105567" w:rsidP="00105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 de energie coöperatie géén gebruik mag maken van fiscale faciliteiten zoals de milieu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en</w:t>
      </w:r>
    </w:p>
    <w:p w:rsidR="00193BB9" w:rsidRDefault="00105567" w:rsidP="00105567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</w:rPr>
        <w:t xml:space="preserve">energie-investeringsaftrek </w:t>
      </w:r>
      <w:r>
        <w:rPr>
          <w:rFonts w:ascii="ArialMT" w:hAnsi="ArialMT" w:cs="ArialMT"/>
        </w:rPr>
        <w:t xml:space="preserve">(MIA) </w:t>
      </w:r>
      <w:r>
        <w:rPr>
          <w:rFonts w:ascii="ArialMT" w:hAnsi="ArialMT" w:cs="ArialMT"/>
        </w:rPr>
        <w:t>en/of de zogenoemde willekeurige afschrijving milieubedrijfsmiddelen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(VAMIL)</w:t>
      </w:r>
      <w:r>
        <w:rPr>
          <w:rFonts w:ascii="ArialMT" w:hAnsi="ArialMT" w:cs="ArialMT"/>
        </w:rPr>
        <w:t>.</w:t>
      </w:r>
    </w:p>
    <w:sectPr w:rsidR="0019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7"/>
    <w:rsid w:val="00105567"/>
    <w:rsid w:val="001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0EF98-3F6B-46CC-9A78-4119FA68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3336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deWit</dc:creator>
  <cp:keywords/>
  <dc:description/>
  <cp:lastModifiedBy>Laurens deWit</cp:lastModifiedBy>
  <cp:revision>1</cp:revision>
  <dcterms:created xsi:type="dcterms:W3CDTF">2016-09-05T11:56:00Z</dcterms:created>
  <dcterms:modified xsi:type="dcterms:W3CDTF">2016-09-05T12:03:00Z</dcterms:modified>
</cp:coreProperties>
</file>